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D9758">
      <w:pPr>
        <w:keepNext w:val="0"/>
        <w:keepLines w:val="0"/>
        <w:pageBreakBefore w:val="0"/>
        <w:widowControl w:val="0"/>
        <w:tabs>
          <w:tab w:val="left" w:pos="1758"/>
        </w:tabs>
        <w:kinsoku/>
        <w:wordWrap/>
        <w:overflowPunct/>
        <w:topLinePunct w:val="0"/>
        <w:autoSpaceDE/>
        <w:autoSpaceDN/>
        <w:bidi w:val="0"/>
        <w:adjustRightInd/>
        <w:snapToGrid/>
        <w:spacing w:line="540" w:lineRule="exact"/>
        <w:ind w:left="0" w:leftChars="0" w:firstLine="0" w:firstLineChars="0"/>
        <w:textAlignment w:val="auto"/>
        <w:rPr>
          <w:rFonts w:hint="eastAsia" w:ascii="黑体" w:hAnsi="黑体" w:eastAsia="黑体" w:cs="黑体"/>
          <w:b w:val="0"/>
          <w:bCs/>
          <w:color w:val="auto"/>
          <w:sz w:val="32"/>
          <w:szCs w:val="32"/>
          <w:highlight w:val="none"/>
          <w:lang w:eastAsia="zh-CN"/>
        </w:rPr>
      </w:pPr>
      <w:bookmarkStart w:id="0" w:name="_GoBack"/>
      <w:r>
        <w:rPr>
          <w:rFonts w:hint="eastAsia" w:ascii="黑体" w:hAnsi="黑体" w:eastAsia="黑体" w:cs="黑体"/>
          <w:b w:val="0"/>
          <w:bCs/>
          <w:color w:val="auto"/>
          <w:sz w:val="32"/>
          <w:szCs w:val="32"/>
          <w:highlight w:val="none"/>
          <w:lang w:eastAsia="zh-CN"/>
        </w:rPr>
        <w:t>附件</w:t>
      </w:r>
    </w:p>
    <w:bookmarkEnd w:id="0"/>
    <w:p w14:paraId="709B484B">
      <w:pPr>
        <w:keepNext w:val="0"/>
        <w:keepLines w:val="0"/>
        <w:pageBreakBefore w:val="0"/>
        <w:widowControl w:val="0"/>
        <w:tabs>
          <w:tab w:val="left" w:pos="1758"/>
        </w:tabs>
        <w:kinsoku/>
        <w:wordWrap/>
        <w:overflowPunct/>
        <w:topLinePunct w:val="0"/>
        <w:autoSpaceDE/>
        <w:autoSpaceDN/>
        <w:bidi w:val="0"/>
        <w:adjustRightInd/>
        <w:snapToGrid/>
        <w:spacing w:line="540" w:lineRule="exact"/>
        <w:ind w:left="0" w:leftChars="0"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44"/>
          <w:szCs w:val="44"/>
          <w:highlight w:val="none"/>
        </w:rPr>
        <w:t>综合评审表</w:t>
      </w:r>
    </w:p>
    <w:tbl>
      <w:tblPr>
        <w:tblStyle w:val="2"/>
        <w:tblpPr w:leftFromText="181" w:rightFromText="181" w:vertAnchor="text" w:horzAnchor="page" w:tblpX="1730" w:tblpY="1"/>
        <w:tblOverlap w:val="never"/>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071"/>
        <w:gridCol w:w="5403"/>
      </w:tblGrid>
      <w:tr w14:paraId="4A10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1005" w:type="dxa"/>
            <w:noWrap w:val="0"/>
            <w:vAlign w:val="center"/>
          </w:tcPr>
          <w:p w14:paraId="7D6DA351">
            <w:pPr>
              <w:keepNext w:val="0"/>
              <w:keepLines w:val="0"/>
              <w:pageBreakBefore w:val="0"/>
              <w:widowControl/>
              <w:kinsoku/>
              <w:overflowPunct/>
              <w:topLinePunct w:val="0"/>
              <w:autoSpaceDE/>
              <w:autoSpaceDN/>
              <w:bidi w:val="0"/>
              <w:adjustRightInd/>
              <w:snapToGrid w:val="0"/>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w:t>
            </w:r>
          </w:p>
        </w:tc>
        <w:tc>
          <w:tcPr>
            <w:tcW w:w="2071" w:type="dxa"/>
            <w:noWrap w:val="0"/>
            <w:vAlign w:val="center"/>
          </w:tcPr>
          <w:p w14:paraId="59880562">
            <w:pPr>
              <w:keepNext w:val="0"/>
              <w:keepLines w:val="0"/>
              <w:pageBreakBefore w:val="0"/>
              <w:widowControl/>
              <w:kinsoku/>
              <w:overflowPunct/>
              <w:topLinePunct w:val="0"/>
              <w:autoSpaceDE/>
              <w:autoSpaceDN/>
              <w:bidi w:val="0"/>
              <w:adjustRightInd/>
              <w:snapToGrid w:val="0"/>
              <w:spacing w:line="240" w:lineRule="auto"/>
              <w:ind w:firstLine="0" w:firstLineChars="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评审因素</w:t>
            </w:r>
            <w:r>
              <w:rPr>
                <w:rFonts w:hint="eastAsia" w:ascii="宋体" w:hAnsi="宋体" w:eastAsia="宋体" w:cs="宋体"/>
                <w:kern w:val="0"/>
                <w:sz w:val="24"/>
                <w:szCs w:val="24"/>
                <w:highlight w:val="none"/>
                <w:lang w:val="en-US" w:eastAsia="zh-CN"/>
              </w:rPr>
              <w:t>及分值</w:t>
            </w:r>
          </w:p>
        </w:tc>
        <w:tc>
          <w:tcPr>
            <w:tcW w:w="5403" w:type="dxa"/>
            <w:noWrap w:val="0"/>
            <w:vAlign w:val="center"/>
          </w:tcPr>
          <w:p w14:paraId="40C21240">
            <w:pPr>
              <w:keepNext w:val="0"/>
              <w:keepLines w:val="0"/>
              <w:pageBreakBefore w:val="0"/>
              <w:widowControl/>
              <w:kinsoku/>
              <w:overflowPunct/>
              <w:topLinePunct w:val="0"/>
              <w:autoSpaceDE/>
              <w:autoSpaceDN/>
              <w:bidi w:val="0"/>
              <w:adjustRightInd/>
              <w:snapToGrid w:val="0"/>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评分标准说明</w:t>
            </w:r>
          </w:p>
        </w:tc>
      </w:tr>
      <w:tr w14:paraId="47C1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trPr>
        <w:tc>
          <w:tcPr>
            <w:tcW w:w="1005" w:type="dxa"/>
            <w:noWrap w:val="0"/>
            <w:vAlign w:val="center"/>
          </w:tcPr>
          <w:p w14:paraId="356C6C1C">
            <w:pPr>
              <w:keepNext w:val="0"/>
              <w:keepLines w:val="0"/>
              <w:pageBreakBefore w:val="0"/>
              <w:widowControl/>
              <w:kinsoku/>
              <w:overflowPunct/>
              <w:topLinePunct w:val="0"/>
              <w:autoSpaceDE/>
              <w:autoSpaceDN/>
              <w:bidi w:val="0"/>
              <w:adjustRightInd/>
              <w:snapToGrid w:val="0"/>
              <w:spacing w:line="240" w:lineRule="auto"/>
              <w:ind w:firstLine="0" w:firstLineChars="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部分（</w:t>
            </w:r>
            <w:r>
              <w:rPr>
                <w:rFonts w:hint="eastAsia" w:ascii="宋体" w:hAnsi="宋体" w:eastAsia="宋体" w:cs="宋体"/>
                <w:kern w:val="0"/>
                <w:sz w:val="24"/>
                <w:szCs w:val="24"/>
                <w:highlight w:val="none"/>
                <w:lang w:val="en-US" w:eastAsia="zh-CN"/>
              </w:rPr>
              <w:t>40</w:t>
            </w:r>
            <w:r>
              <w:rPr>
                <w:rFonts w:hint="eastAsia" w:ascii="宋体" w:hAnsi="宋体" w:eastAsia="宋体" w:cs="宋体"/>
                <w:kern w:val="0"/>
                <w:sz w:val="24"/>
                <w:szCs w:val="24"/>
                <w:highlight w:val="none"/>
              </w:rPr>
              <w:t>分）</w:t>
            </w:r>
          </w:p>
        </w:tc>
        <w:tc>
          <w:tcPr>
            <w:tcW w:w="7474" w:type="dxa"/>
            <w:gridSpan w:val="2"/>
            <w:noWrap w:val="0"/>
            <w:vAlign w:val="center"/>
          </w:tcPr>
          <w:p w14:paraId="34A9192D">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要求且</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最低的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为评标基准价，其价格分为满分。其他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的价格分统一按照下列公式计算：</w:t>
            </w:r>
          </w:p>
          <w:p w14:paraId="510C19D0">
            <w:pPr>
              <w:keepNext w:val="0"/>
              <w:keepLines w:val="0"/>
              <w:pageBreakBefore w:val="0"/>
              <w:widowControl w:val="0"/>
              <w:kinsoku/>
              <w:overflowPunct/>
              <w:topLinePunct w:val="0"/>
              <w:autoSpaceDE/>
              <w:autoSpaceDN/>
              <w:bidi w:val="0"/>
              <w:adjustRightInd/>
              <w:snapToGrid w:val="0"/>
              <w:spacing w:line="240" w:lineRule="auto"/>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磋商报价得分=（评标基准价/磋商报价）×40%×100</w:t>
            </w:r>
          </w:p>
        </w:tc>
      </w:tr>
      <w:tr w14:paraId="22A9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trPr>
        <w:tc>
          <w:tcPr>
            <w:tcW w:w="1005" w:type="dxa"/>
            <w:vMerge w:val="restart"/>
            <w:noWrap w:val="0"/>
            <w:vAlign w:val="center"/>
          </w:tcPr>
          <w:p w14:paraId="1A5C9D20">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技术部分</w:t>
            </w:r>
          </w:p>
          <w:p w14:paraId="508B4714">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52分</w:t>
            </w:r>
            <w:r>
              <w:rPr>
                <w:rFonts w:hint="eastAsia" w:ascii="宋体" w:hAnsi="宋体" w:eastAsia="宋体" w:cs="宋体"/>
                <w:kern w:val="0"/>
                <w:sz w:val="24"/>
                <w:szCs w:val="24"/>
                <w:highlight w:val="none"/>
                <w:lang w:eastAsia="zh-CN"/>
              </w:rPr>
              <w:t>）</w:t>
            </w:r>
          </w:p>
        </w:tc>
        <w:tc>
          <w:tcPr>
            <w:tcW w:w="2071" w:type="dxa"/>
            <w:noWrap w:val="0"/>
            <w:vAlign w:val="center"/>
          </w:tcPr>
          <w:p w14:paraId="7CA8B112">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总体概述(10分）</w:t>
            </w:r>
          </w:p>
        </w:tc>
        <w:tc>
          <w:tcPr>
            <w:tcW w:w="5403" w:type="dxa"/>
            <w:noWrap w:val="0"/>
            <w:vAlign w:val="center"/>
          </w:tcPr>
          <w:p w14:paraId="35AA7A4F">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供应商施工组织总体设想、施工方案针对性和施工段划分是否合理,经评审可得1-10分，如不符合,该项不得分。</w:t>
            </w:r>
          </w:p>
        </w:tc>
      </w:tr>
      <w:tr w14:paraId="2C7A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blHeader/>
        </w:trPr>
        <w:tc>
          <w:tcPr>
            <w:tcW w:w="1005" w:type="dxa"/>
            <w:vMerge w:val="continue"/>
            <w:noWrap w:val="0"/>
            <w:vAlign w:val="center"/>
          </w:tcPr>
          <w:p w14:paraId="01D6304D">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p>
        </w:tc>
        <w:tc>
          <w:tcPr>
            <w:tcW w:w="2071" w:type="dxa"/>
            <w:noWrap w:val="0"/>
            <w:vAlign w:val="center"/>
          </w:tcPr>
          <w:p w14:paraId="150F9917">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施工进度</w:t>
            </w:r>
          </w:p>
          <w:p w14:paraId="16FAAFB6">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(7分）</w:t>
            </w:r>
          </w:p>
        </w:tc>
        <w:tc>
          <w:tcPr>
            <w:tcW w:w="5403" w:type="dxa"/>
            <w:noWrap w:val="0"/>
            <w:vAlign w:val="center"/>
          </w:tcPr>
          <w:p w14:paraId="3243E85E">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spacing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供应商制定的工期控制目标明确，施工段的划分合理，劳动力的安排计划合理，制定的施工进度计划（横道图或网络图）科学合理，符合工期要求，保证进度的措施详尽可靠，经评审可得1-7分，如不符合,该项不得分。</w:t>
            </w:r>
          </w:p>
        </w:tc>
      </w:tr>
      <w:tr w14:paraId="184B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blHeader/>
        </w:trPr>
        <w:tc>
          <w:tcPr>
            <w:tcW w:w="1005" w:type="dxa"/>
            <w:vMerge w:val="continue"/>
            <w:noWrap w:val="0"/>
            <w:vAlign w:val="center"/>
          </w:tcPr>
          <w:p w14:paraId="4FA954C0">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p>
        </w:tc>
        <w:tc>
          <w:tcPr>
            <w:tcW w:w="2071" w:type="dxa"/>
            <w:noWrap w:val="0"/>
            <w:vAlign w:val="center"/>
          </w:tcPr>
          <w:p w14:paraId="404E3616">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施工方案和质量保证措施(7分）</w:t>
            </w:r>
          </w:p>
        </w:tc>
        <w:tc>
          <w:tcPr>
            <w:tcW w:w="5403" w:type="dxa"/>
            <w:noWrap w:val="0"/>
            <w:vAlign w:val="center"/>
          </w:tcPr>
          <w:p w14:paraId="7064A588">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snapToGrid w:val="0"/>
                <w:color w:val="000000"/>
                <w:spacing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供应商制定分部分项工程和关键部位的施工方案是否符合规定并先进可行，是否符合本工程实际，制定的质量控制目标是否明确，质量保障体系是否完善，技术组织措施（包括施工质量方面、冬雨季节和农忙季节施工方面的保证措施等）是否切实可行,经评审可得1-7分，如不符合,该项不得分。</w:t>
            </w:r>
          </w:p>
        </w:tc>
      </w:tr>
      <w:tr w14:paraId="2AA0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trPr>
        <w:tc>
          <w:tcPr>
            <w:tcW w:w="1005" w:type="dxa"/>
            <w:vMerge w:val="continue"/>
            <w:noWrap w:val="0"/>
            <w:vAlign w:val="center"/>
          </w:tcPr>
          <w:p w14:paraId="3267C14F">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p>
        </w:tc>
        <w:tc>
          <w:tcPr>
            <w:tcW w:w="2071" w:type="dxa"/>
            <w:noWrap w:val="0"/>
            <w:vAlign w:val="center"/>
          </w:tcPr>
          <w:p w14:paraId="3072AF36">
            <w:pPr>
              <w:keepNext w:val="0"/>
              <w:keepLines w:val="0"/>
              <w:pageBreakBefore w:val="0"/>
              <w:kinsoku/>
              <w:wordWrap w:val="0"/>
              <w:overflowPunct/>
              <w:topLinePunct w:val="0"/>
              <w:autoSpaceDE/>
              <w:autoSpaceDN/>
              <w:bidi w:val="0"/>
              <w:adjustRightInd/>
              <w:snapToGrid w:val="0"/>
              <w:spacing w:line="240" w:lineRule="auto"/>
              <w:ind w:firstLine="0" w:firstLineChars="0"/>
              <w:jc w:val="center"/>
              <w:rPr>
                <w:rFonts w:hint="eastAsia" w:ascii="宋体" w:hAnsi="宋体" w:eastAsia="宋体" w:cs="宋体"/>
                <w:snapToGrid w:val="0"/>
                <w:color w:val="auto"/>
                <w:kern w:val="1"/>
                <w:sz w:val="24"/>
                <w:szCs w:val="24"/>
                <w:highlight w:val="none"/>
                <w:lang w:val="en-US" w:eastAsia="zh-CN" w:bidi="ar-SA"/>
              </w:rPr>
            </w:pPr>
            <w:r>
              <w:rPr>
                <w:rFonts w:hint="eastAsia" w:ascii="宋体" w:hAnsi="宋体" w:eastAsia="宋体" w:cs="宋体"/>
                <w:color w:val="auto"/>
                <w:kern w:val="1"/>
                <w:sz w:val="24"/>
                <w:szCs w:val="24"/>
                <w:highlight w:val="none"/>
                <w:lang w:val="zh-CN"/>
              </w:rPr>
              <w:t>施工的重点和难点及保证措施（</w:t>
            </w:r>
            <w:r>
              <w:rPr>
                <w:rFonts w:hint="eastAsia" w:ascii="宋体" w:hAnsi="宋体" w:eastAsia="宋体" w:cs="宋体"/>
                <w:color w:val="auto"/>
                <w:kern w:val="1"/>
                <w:sz w:val="24"/>
                <w:szCs w:val="24"/>
                <w:highlight w:val="none"/>
                <w:lang w:val="en-US" w:eastAsia="zh-CN"/>
              </w:rPr>
              <w:t>7</w:t>
            </w:r>
            <w:r>
              <w:rPr>
                <w:rFonts w:hint="eastAsia" w:ascii="宋体" w:hAnsi="宋体" w:eastAsia="宋体" w:cs="宋体"/>
                <w:color w:val="auto"/>
                <w:kern w:val="1"/>
                <w:sz w:val="24"/>
                <w:szCs w:val="24"/>
                <w:highlight w:val="none"/>
                <w:lang w:val="zh-CN"/>
              </w:rPr>
              <w:t>分）</w:t>
            </w:r>
          </w:p>
        </w:tc>
        <w:tc>
          <w:tcPr>
            <w:tcW w:w="5403" w:type="dxa"/>
            <w:noWrap w:val="0"/>
            <w:vAlign w:val="center"/>
          </w:tcPr>
          <w:p w14:paraId="2EA892D0">
            <w:pPr>
              <w:keepNext w:val="0"/>
              <w:keepLines w:val="0"/>
              <w:pageBreakBefore w:val="0"/>
              <w:kinsoku/>
              <w:wordWrap w:val="0"/>
              <w:overflowPunct/>
              <w:topLinePunct w:val="0"/>
              <w:autoSpaceDE/>
              <w:autoSpaceDN/>
              <w:bidi w:val="0"/>
              <w:adjustRightInd/>
              <w:snapToGrid w:val="0"/>
              <w:spacing w:line="240" w:lineRule="auto"/>
              <w:ind w:firstLine="0" w:firstLineChars="0"/>
              <w:jc w:val="left"/>
              <w:rPr>
                <w:rFonts w:hint="eastAsia" w:ascii="宋体" w:hAnsi="宋体" w:eastAsia="宋体" w:cs="宋体"/>
                <w:snapToGrid w:val="0"/>
                <w:color w:val="auto"/>
                <w:kern w:val="1"/>
                <w:sz w:val="24"/>
                <w:szCs w:val="24"/>
                <w:highlight w:val="none"/>
                <w:lang w:val="en-US" w:eastAsia="zh-CN" w:bidi="ar-SA"/>
              </w:rPr>
            </w:pPr>
            <w:r>
              <w:rPr>
                <w:rFonts w:hint="eastAsia" w:ascii="宋体" w:hAnsi="宋体" w:eastAsia="宋体" w:cs="宋体"/>
                <w:color w:val="auto"/>
                <w:sz w:val="24"/>
                <w:szCs w:val="24"/>
                <w:highlight w:val="none"/>
                <w:lang w:val="zh-CN"/>
              </w:rPr>
              <w:t>工程施工的重点和难点及保证措施是否完善正确有效</w:t>
            </w:r>
            <w:r>
              <w:rPr>
                <w:rFonts w:hint="eastAsia" w:ascii="宋体" w:hAnsi="宋体" w:eastAsia="宋体" w:cs="宋体"/>
                <w:i w:val="0"/>
                <w:iCs w:val="0"/>
                <w:color w:val="000000"/>
                <w:kern w:val="0"/>
                <w:sz w:val="24"/>
                <w:szCs w:val="24"/>
                <w:u w:val="none"/>
                <w:lang w:val="en-US" w:eastAsia="zh-CN" w:bidi="ar"/>
              </w:rPr>
              <w:t>,经评审可得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分</w:t>
            </w:r>
            <w:r>
              <w:rPr>
                <w:rFonts w:hint="eastAsia" w:ascii="宋体" w:hAnsi="宋体" w:eastAsia="宋体" w:cs="宋体"/>
                <w:i w:val="0"/>
                <w:iCs w:val="0"/>
                <w:color w:val="000000"/>
                <w:kern w:val="0"/>
                <w:sz w:val="24"/>
                <w:szCs w:val="24"/>
                <w:u w:val="none"/>
                <w:lang w:val="en-US" w:eastAsia="zh-CN" w:bidi="ar"/>
              </w:rPr>
              <w:t>，如不符合,该项不得分</w:t>
            </w:r>
            <w:r>
              <w:rPr>
                <w:rFonts w:hint="eastAsia" w:ascii="宋体" w:hAnsi="宋体" w:eastAsia="宋体" w:cs="宋体"/>
                <w:color w:val="auto"/>
                <w:sz w:val="24"/>
                <w:szCs w:val="24"/>
                <w:highlight w:val="none"/>
                <w:lang w:val="zh-CN"/>
              </w:rPr>
              <w:t>。</w:t>
            </w:r>
          </w:p>
        </w:tc>
      </w:tr>
      <w:tr w14:paraId="5B1F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1005" w:type="dxa"/>
            <w:vMerge w:val="continue"/>
            <w:noWrap w:val="0"/>
            <w:vAlign w:val="center"/>
          </w:tcPr>
          <w:p w14:paraId="5E07A89D">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p>
        </w:tc>
        <w:tc>
          <w:tcPr>
            <w:tcW w:w="2071" w:type="dxa"/>
            <w:noWrap w:val="0"/>
            <w:vAlign w:val="center"/>
          </w:tcPr>
          <w:p w14:paraId="1CE76104">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安全文明施工和环境保护措施(7分)</w:t>
            </w:r>
          </w:p>
        </w:tc>
        <w:tc>
          <w:tcPr>
            <w:tcW w:w="5403" w:type="dxa"/>
            <w:noWrap w:val="0"/>
            <w:vAlign w:val="center"/>
          </w:tcPr>
          <w:p w14:paraId="59161C8E">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供应商制定的施工安全防护、文明施工、环境保护责任目标是否明确、细致，监管制度是否周密健全，保障措施是否详实有针对性,经评委评审可得1-7分。如不符合,该项不得分。</w:t>
            </w:r>
          </w:p>
        </w:tc>
      </w:tr>
      <w:tr w14:paraId="26B4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trPr>
        <w:tc>
          <w:tcPr>
            <w:tcW w:w="1005" w:type="dxa"/>
            <w:vMerge w:val="continue"/>
            <w:noWrap w:val="0"/>
            <w:vAlign w:val="center"/>
          </w:tcPr>
          <w:p w14:paraId="49F5206F">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p>
        </w:tc>
        <w:tc>
          <w:tcPr>
            <w:tcW w:w="2071" w:type="dxa"/>
            <w:noWrap w:val="0"/>
            <w:vAlign w:val="center"/>
          </w:tcPr>
          <w:p w14:paraId="12A3A941">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336" w:rightChars="-105"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劳务队伍管理</w:t>
            </w:r>
          </w:p>
          <w:p w14:paraId="08726B87">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336" w:rightChars="-105"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人员配备</w:t>
            </w:r>
          </w:p>
          <w:p w14:paraId="2DC6599D">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336" w:rightChars="-105" w:firstLine="0" w:firstLineChars="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(7分)</w:t>
            </w:r>
          </w:p>
        </w:tc>
        <w:tc>
          <w:tcPr>
            <w:tcW w:w="5403" w:type="dxa"/>
            <w:noWrap w:val="0"/>
            <w:vAlign w:val="center"/>
          </w:tcPr>
          <w:p w14:paraId="04235E2B">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劳务队伍管理的人员配备、岗位职责、分工是否合理可行，拟派劳务人员证书是否齐全，经评委评审可得1-7分，如不符合,该项不得分。</w:t>
            </w:r>
          </w:p>
        </w:tc>
      </w:tr>
      <w:tr w14:paraId="1FA1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trPr>
        <w:tc>
          <w:tcPr>
            <w:tcW w:w="1005" w:type="dxa"/>
            <w:vMerge w:val="continue"/>
            <w:noWrap w:val="0"/>
            <w:vAlign w:val="center"/>
          </w:tcPr>
          <w:p w14:paraId="0CF4F065">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p>
        </w:tc>
        <w:tc>
          <w:tcPr>
            <w:tcW w:w="2071" w:type="dxa"/>
            <w:noWrap w:val="0"/>
            <w:vAlign w:val="center"/>
          </w:tcPr>
          <w:p w14:paraId="1531334D">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劳动力、机械设备(7分)</w:t>
            </w:r>
          </w:p>
        </w:tc>
        <w:tc>
          <w:tcPr>
            <w:tcW w:w="5403" w:type="dxa"/>
            <w:noWrap w:val="0"/>
            <w:vAlign w:val="center"/>
          </w:tcPr>
          <w:p w14:paraId="6E384BE4">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拟投入的劳动力安排计划是否合理可靠,经评审可得1-7分，如不符合,该项不得分。</w:t>
            </w:r>
          </w:p>
        </w:tc>
      </w:tr>
      <w:tr w14:paraId="3888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blHeader/>
        </w:trPr>
        <w:tc>
          <w:tcPr>
            <w:tcW w:w="1005" w:type="dxa"/>
            <w:noWrap w:val="0"/>
            <w:vAlign w:val="center"/>
          </w:tcPr>
          <w:p w14:paraId="404B3550">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商务</w:t>
            </w:r>
            <w:r>
              <w:rPr>
                <w:rFonts w:hint="eastAsia" w:ascii="宋体" w:hAnsi="宋体" w:eastAsia="宋体" w:cs="宋体"/>
                <w:kern w:val="0"/>
                <w:sz w:val="24"/>
                <w:szCs w:val="24"/>
                <w:highlight w:val="none"/>
                <w:lang w:eastAsia="zh-CN"/>
              </w:rPr>
              <w:t>部分（</w:t>
            </w:r>
            <w:r>
              <w:rPr>
                <w:rFonts w:hint="eastAsia" w:ascii="宋体" w:hAnsi="宋体" w:eastAsia="宋体" w:cs="宋体"/>
                <w:kern w:val="0"/>
                <w:sz w:val="24"/>
                <w:szCs w:val="24"/>
                <w:highlight w:val="none"/>
                <w:lang w:val="en-US" w:eastAsia="zh-CN"/>
              </w:rPr>
              <w:t>8分</w:t>
            </w:r>
            <w:r>
              <w:rPr>
                <w:rFonts w:hint="eastAsia" w:ascii="宋体" w:hAnsi="宋体" w:eastAsia="宋体" w:cs="宋体"/>
                <w:kern w:val="0"/>
                <w:sz w:val="24"/>
                <w:szCs w:val="24"/>
                <w:highlight w:val="none"/>
                <w:lang w:eastAsia="zh-CN"/>
              </w:rPr>
              <w:t>）</w:t>
            </w:r>
          </w:p>
        </w:tc>
        <w:tc>
          <w:tcPr>
            <w:tcW w:w="2071" w:type="dxa"/>
            <w:noWrap w:val="0"/>
            <w:vAlign w:val="center"/>
          </w:tcPr>
          <w:p w14:paraId="0EDF1344">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宋体" w:hAnsi="宋体" w:eastAsia="宋体" w:cs="宋体"/>
                <w:smallCaps w:val="0"/>
                <w:spacing w:val="0"/>
                <w:w w:val="100"/>
                <w:kern w:val="0"/>
                <w:position w:val="0"/>
                <w:sz w:val="24"/>
                <w:szCs w:val="24"/>
                <w:highlight w:val="none"/>
              </w:rPr>
            </w:pPr>
            <w:r>
              <w:rPr>
                <w:rFonts w:hint="eastAsia" w:ascii="宋体" w:hAnsi="宋体" w:eastAsia="宋体" w:cs="宋体"/>
                <w:smallCaps w:val="0"/>
                <w:spacing w:val="0"/>
                <w:w w:val="100"/>
                <w:kern w:val="0"/>
                <w:position w:val="0"/>
                <w:sz w:val="24"/>
                <w:szCs w:val="24"/>
                <w:highlight w:val="none"/>
              </w:rPr>
              <w:t>企业业绩</w:t>
            </w:r>
          </w:p>
          <w:p w14:paraId="55C75A99">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mallCaps w:val="0"/>
                <w:spacing w:val="0"/>
                <w:w w:val="100"/>
                <w:kern w:val="0"/>
                <w:position w:val="0"/>
                <w:sz w:val="24"/>
                <w:szCs w:val="24"/>
                <w:highlight w:val="none"/>
                <w:lang w:eastAsia="zh-CN"/>
              </w:rPr>
              <w:t>（</w:t>
            </w:r>
            <w:r>
              <w:rPr>
                <w:rFonts w:hint="eastAsia" w:ascii="宋体" w:hAnsi="宋体" w:eastAsia="宋体" w:cs="宋体"/>
                <w:smallCaps w:val="0"/>
                <w:spacing w:val="0"/>
                <w:w w:val="100"/>
                <w:kern w:val="0"/>
                <w:position w:val="0"/>
                <w:sz w:val="24"/>
                <w:szCs w:val="24"/>
                <w:highlight w:val="none"/>
                <w:lang w:val="en-US" w:eastAsia="zh-CN"/>
              </w:rPr>
              <w:t>8分</w:t>
            </w:r>
            <w:r>
              <w:rPr>
                <w:rFonts w:hint="eastAsia" w:ascii="宋体" w:hAnsi="宋体" w:eastAsia="宋体" w:cs="宋体"/>
                <w:smallCaps w:val="0"/>
                <w:spacing w:val="0"/>
                <w:w w:val="100"/>
                <w:kern w:val="0"/>
                <w:position w:val="0"/>
                <w:sz w:val="24"/>
                <w:szCs w:val="24"/>
                <w:highlight w:val="none"/>
                <w:lang w:eastAsia="zh-CN"/>
              </w:rPr>
              <w:t>）</w:t>
            </w:r>
          </w:p>
        </w:tc>
        <w:tc>
          <w:tcPr>
            <w:tcW w:w="5403" w:type="dxa"/>
            <w:noWrap w:val="0"/>
            <w:vAlign w:val="center"/>
          </w:tcPr>
          <w:p w14:paraId="2BF1F8D2">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mallCaps w:val="0"/>
                <w:spacing w:val="0"/>
                <w:w w:val="100"/>
                <w:kern w:val="0"/>
                <w:position w:val="0"/>
                <w:sz w:val="24"/>
                <w:szCs w:val="24"/>
                <w:highlight w:val="none"/>
                <w:lang w:eastAsia="zh-CN"/>
              </w:rPr>
              <w:t>供应商</w:t>
            </w:r>
            <w:r>
              <w:rPr>
                <w:rFonts w:hint="eastAsia" w:ascii="宋体" w:hAnsi="宋体" w:eastAsia="宋体" w:cs="宋体"/>
                <w:smallCaps w:val="0"/>
                <w:spacing w:val="0"/>
                <w:w w:val="100"/>
                <w:kern w:val="0"/>
                <w:position w:val="0"/>
                <w:sz w:val="24"/>
                <w:szCs w:val="24"/>
                <w:highlight w:val="none"/>
              </w:rPr>
              <w:t>具有20</w:t>
            </w:r>
            <w:r>
              <w:rPr>
                <w:rFonts w:hint="eastAsia" w:ascii="宋体" w:hAnsi="宋体" w:eastAsia="宋体" w:cs="宋体"/>
                <w:smallCaps w:val="0"/>
                <w:spacing w:val="0"/>
                <w:w w:val="100"/>
                <w:kern w:val="0"/>
                <w:position w:val="0"/>
                <w:sz w:val="24"/>
                <w:szCs w:val="24"/>
                <w:highlight w:val="none"/>
                <w:lang w:val="en-US" w:eastAsia="zh-CN"/>
              </w:rPr>
              <w:t>22</w:t>
            </w:r>
            <w:r>
              <w:rPr>
                <w:rFonts w:hint="eastAsia" w:ascii="宋体" w:hAnsi="宋体" w:eastAsia="宋体" w:cs="宋体"/>
                <w:smallCaps w:val="0"/>
                <w:spacing w:val="0"/>
                <w:w w:val="100"/>
                <w:kern w:val="0"/>
                <w:position w:val="0"/>
                <w:sz w:val="24"/>
                <w:szCs w:val="24"/>
                <w:highlight w:val="none"/>
              </w:rPr>
              <w:t>年1月1日起至今类似项目业绩,每提供一个</w:t>
            </w:r>
            <w:r>
              <w:rPr>
                <w:rFonts w:hint="eastAsia" w:ascii="宋体" w:hAnsi="宋体" w:eastAsia="宋体" w:cs="宋体"/>
                <w:smallCaps w:val="0"/>
                <w:spacing w:val="0"/>
                <w:w w:val="100"/>
                <w:kern w:val="0"/>
                <w:position w:val="0"/>
                <w:sz w:val="24"/>
                <w:szCs w:val="24"/>
                <w:highlight w:val="none"/>
                <w:lang w:val="en-US" w:eastAsia="zh-CN"/>
              </w:rPr>
              <w:t>合同业绩</w:t>
            </w:r>
            <w:r>
              <w:rPr>
                <w:rFonts w:hint="eastAsia" w:ascii="宋体" w:hAnsi="宋体" w:eastAsia="宋体" w:cs="宋体"/>
                <w:smallCaps w:val="0"/>
                <w:spacing w:val="0"/>
                <w:w w:val="100"/>
                <w:kern w:val="0"/>
                <w:position w:val="0"/>
                <w:sz w:val="24"/>
                <w:szCs w:val="24"/>
                <w:highlight w:val="none"/>
              </w:rPr>
              <w:t>得</w:t>
            </w:r>
            <w:r>
              <w:rPr>
                <w:rFonts w:hint="eastAsia" w:ascii="宋体" w:hAnsi="宋体" w:eastAsia="宋体" w:cs="宋体"/>
                <w:smallCaps w:val="0"/>
                <w:spacing w:val="0"/>
                <w:w w:val="100"/>
                <w:kern w:val="0"/>
                <w:position w:val="0"/>
                <w:sz w:val="24"/>
                <w:szCs w:val="24"/>
                <w:highlight w:val="none"/>
                <w:lang w:val="en-US" w:eastAsia="zh-CN"/>
              </w:rPr>
              <w:t>2</w:t>
            </w:r>
            <w:r>
              <w:rPr>
                <w:rFonts w:hint="eastAsia" w:ascii="宋体" w:hAnsi="宋体" w:eastAsia="宋体" w:cs="宋体"/>
                <w:smallCaps w:val="0"/>
                <w:spacing w:val="0"/>
                <w:w w:val="100"/>
                <w:kern w:val="0"/>
                <w:position w:val="0"/>
                <w:sz w:val="24"/>
                <w:szCs w:val="24"/>
                <w:highlight w:val="none"/>
              </w:rPr>
              <w:t>分，最高可得</w:t>
            </w:r>
            <w:r>
              <w:rPr>
                <w:rFonts w:hint="eastAsia" w:ascii="宋体" w:hAnsi="宋体" w:eastAsia="宋体" w:cs="宋体"/>
                <w:smallCaps w:val="0"/>
                <w:spacing w:val="0"/>
                <w:w w:val="100"/>
                <w:kern w:val="0"/>
                <w:position w:val="0"/>
                <w:sz w:val="24"/>
                <w:szCs w:val="24"/>
                <w:highlight w:val="none"/>
                <w:lang w:val="en-US" w:eastAsia="zh-CN"/>
              </w:rPr>
              <w:t>8</w:t>
            </w:r>
            <w:r>
              <w:rPr>
                <w:rFonts w:hint="eastAsia" w:ascii="宋体" w:hAnsi="宋体" w:eastAsia="宋体" w:cs="宋体"/>
                <w:smallCaps w:val="0"/>
                <w:spacing w:val="0"/>
                <w:w w:val="100"/>
                <w:kern w:val="0"/>
                <w:position w:val="0"/>
                <w:sz w:val="24"/>
                <w:szCs w:val="24"/>
                <w:highlight w:val="none"/>
              </w:rPr>
              <w:t>分</w:t>
            </w:r>
            <w:r>
              <w:rPr>
                <w:rFonts w:hint="eastAsia" w:ascii="宋体" w:hAnsi="宋体" w:eastAsia="宋体" w:cs="宋体"/>
                <w:smallCaps w:val="0"/>
                <w:spacing w:val="0"/>
                <w:w w:val="100"/>
                <w:kern w:val="0"/>
                <w:position w:val="0"/>
                <w:sz w:val="24"/>
                <w:szCs w:val="24"/>
                <w:highlight w:val="none"/>
                <w:lang w:eastAsia="zh-CN"/>
              </w:rPr>
              <w:t>。</w:t>
            </w:r>
            <w:r>
              <w:rPr>
                <w:rFonts w:hint="eastAsia" w:ascii="宋体" w:hAnsi="宋体" w:eastAsia="宋体" w:cs="宋体"/>
                <w:b/>
                <w:smallCaps w:val="0"/>
                <w:spacing w:val="0"/>
                <w:w w:val="100"/>
                <w:kern w:val="0"/>
                <w:position w:val="0"/>
                <w:sz w:val="24"/>
                <w:szCs w:val="24"/>
                <w:highlight w:val="none"/>
              </w:rPr>
              <w:t>（类似项目业绩需提供合同原件扫描件</w:t>
            </w:r>
            <w:r>
              <w:rPr>
                <w:rFonts w:hint="eastAsia" w:ascii="宋体" w:hAnsi="宋体" w:eastAsia="宋体" w:cs="宋体"/>
                <w:b/>
                <w:smallCaps w:val="0"/>
                <w:spacing w:val="0"/>
                <w:w w:val="100"/>
                <w:kern w:val="0"/>
                <w:position w:val="0"/>
                <w:sz w:val="24"/>
                <w:szCs w:val="24"/>
                <w:highlight w:val="none"/>
                <w:lang w:eastAsia="zh-CN"/>
              </w:rPr>
              <w:t>或复印件</w:t>
            </w:r>
            <w:r>
              <w:rPr>
                <w:rFonts w:hint="eastAsia" w:ascii="宋体" w:hAnsi="宋体" w:eastAsia="宋体" w:cs="宋体"/>
                <w:b/>
                <w:smallCaps w:val="0"/>
                <w:spacing w:val="0"/>
                <w:w w:val="100"/>
                <w:kern w:val="0"/>
                <w:position w:val="0"/>
                <w:sz w:val="24"/>
                <w:szCs w:val="24"/>
                <w:highlight w:val="none"/>
              </w:rPr>
              <w:t>，</w:t>
            </w:r>
            <w:r>
              <w:rPr>
                <w:rFonts w:hint="eastAsia" w:ascii="宋体" w:hAnsi="宋体" w:eastAsia="宋体" w:cs="宋体"/>
                <w:b/>
                <w:smallCaps w:val="0"/>
                <w:spacing w:val="0"/>
                <w:w w:val="100"/>
                <w:kern w:val="0"/>
                <w:position w:val="0"/>
                <w:sz w:val="24"/>
                <w:szCs w:val="24"/>
                <w:highlight w:val="none"/>
                <w:lang w:eastAsia="zh-CN"/>
              </w:rPr>
              <w:t>时间以合同签订时间为准，</w:t>
            </w:r>
            <w:r>
              <w:rPr>
                <w:rFonts w:hint="eastAsia" w:ascii="宋体" w:hAnsi="宋体" w:eastAsia="宋体" w:cs="宋体"/>
                <w:b/>
                <w:smallCaps w:val="0"/>
                <w:spacing w:val="0"/>
                <w:w w:val="100"/>
                <w:kern w:val="0"/>
                <w:position w:val="0"/>
                <w:sz w:val="24"/>
                <w:szCs w:val="24"/>
                <w:highlight w:val="none"/>
              </w:rPr>
              <w:t>否则不得分）</w:t>
            </w:r>
            <w:r>
              <w:rPr>
                <w:rFonts w:hint="eastAsia" w:ascii="宋体" w:hAnsi="宋体" w:eastAsia="宋体" w:cs="宋体"/>
                <w:b/>
                <w:smallCaps w:val="0"/>
                <w:spacing w:val="0"/>
                <w:w w:val="100"/>
                <w:kern w:val="0"/>
                <w:position w:val="0"/>
                <w:sz w:val="24"/>
                <w:szCs w:val="24"/>
                <w:highlight w:val="none"/>
                <w:lang w:eastAsia="zh-CN"/>
              </w:rPr>
              <w:t>。</w:t>
            </w:r>
          </w:p>
        </w:tc>
      </w:tr>
    </w:tbl>
    <w:p w14:paraId="7F96B07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1"/>
          <w:szCs w:val="21"/>
          <w:highlight w:val="none"/>
        </w:rPr>
        <w:t>注：</w:t>
      </w:r>
      <w:r>
        <w:rPr>
          <w:rFonts w:hint="eastAsia" w:ascii="宋体" w:hAnsi="Calibri" w:eastAsia="宋体" w:cs="宋体"/>
          <w:b/>
          <w:bCs/>
          <w:color w:val="auto"/>
          <w:sz w:val="21"/>
          <w:szCs w:val="21"/>
          <w:highlight w:val="none"/>
        </w:rPr>
        <w:t>评标时所涉及到的证件、证书等资料均以原件扫描件为准。待成交人确定后，采购人将会对以上所涉证件、证书等资料进行复核。有涉嫌资料造假或资料复核不合格者，采购人有权取消其中标资格，顺延由第二成交候选人递补，并承担由此给采购人造成的损失</w:t>
      </w:r>
      <w:r>
        <w:rPr>
          <w:rFonts w:hint="eastAsia" w:ascii="宋体" w:hAnsi="宋体" w:eastAsia="宋体" w:cs="宋体"/>
          <w:b/>
          <w:bCs/>
          <w:color w:val="auto"/>
          <w:sz w:val="21"/>
          <w:szCs w:val="21"/>
          <w:highlight w:val="none"/>
        </w:rPr>
        <w:t>。</w:t>
      </w:r>
    </w:p>
    <w:p w14:paraId="0CF3898B">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667D8"/>
    <w:rsid w:val="15D60C87"/>
    <w:rsid w:val="16441BA5"/>
    <w:rsid w:val="1D334C42"/>
    <w:rsid w:val="2C5524AE"/>
    <w:rsid w:val="3CF11D7F"/>
    <w:rsid w:val="40D774DE"/>
    <w:rsid w:val="444906F3"/>
    <w:rsid w:val="45FB5A1D"/>
    <w:rsid w:val="563878C3"/>
    <w:rsid w:val="58306D45"/>
    <w:rsid w:val="5BF46D3E"/>
    <w:rsid w:val="6F7B5355"/>
    <w:rsid w:val="728A3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2024-12-24T06:48:00Z</dcterms:created>
  <dc:creator>Administrator</dc:creator>
  <cp:lastModifiedBy>Administrator</cp:lastModifiedBy>
  <dcterms:modified xsi:type="dcterms:W3CDTF">2025-11-14T01:56:47Z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87AA26CAB9864DF58B8679FC80A3084C_12</vt:lpwstr>
  </property>
  <property fmtid="{D5CDD505-2E9C-101B-9397-08002B2CF9AE}" pid="4" name="KSOTemplateDocerSaveRecord">
    <vt:lpwstr>eyJoZGlkIjoiZGZiNjA2YjI1OTdiMDMxZjc2YTExYWRlMzY3NDY1MmYiLCJ1c2VySWQiOiIzNzAyMDA0NzQifQ==</vt:lpwstr>
  </property>
</Properties>
</file>